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1BBF" w:rsidRDefault="00DA1DCA">
      <w:pPr>
        <w:pStyle w:val="Subtitle"/>
      </w:pPr>
      <w:r>
        <w:t>NYSJ &amp; NEXSOLVEAI MAGAZINE  |  EDUCATIONAL SAMPLE</w:t>
      </w:r>
    </w:p>
    <w:p w:rsidR="00041BBF" w:rsidRDefault="00DA1DCA">
      <w:pPr>
        <w:pStyle w:val="Title"/>
      </w:pPr>
      <w:r>
        <w:t>Illustrative Single-Channel Absorbance Data and a Proposed Dual-Wavelength Validation Framework</w:t>
      </w:r>
    </w:p>
    <w:p w:rsidR="00041BBF" w:rsidRDefault="00DA1DCA" w:rsidP="00F34602">
      <w:pPr>
        <w:jc w:val="both"/>
      </w:pPr>
      <w:r>
        <w:t>Muhammad Saleh¹ · Muhammad Rehan¹ · Muhammad Talha¹ · Muhammad Musa¹ · Dr. Muhammad Hassan Sayyad²*</w:t>
      </w:r>
    </w:p>
    <w:p w:rsidR="00041BBF" w:rsidRDefault="00DA1DCA" w:rsidP="00F34602">
      <w:pPr>
        <w:jc w:val="both"/>
      </w:pPr>
      <w:r>
        <w:t xml:space="preserve">¹ </w:t>
      </w:r>
      <w:r>
        <w:t>Illustrative affiliation: “NexSolveAI Online High School, Lahore, Pakistan” (fictional; not an existing or accredited school).</w:t>
      </w:r>
    </w:p>
    <w:p w:rsidR="00041BBF" w:rsidRDefault="00DA1DCA" w:rsidP="00F34602">
      <w:pPr>
        <w:jc w:val="both"/>
      </w:pPr>
      <w:r>
        <w:t xml:space="preserve">² </w:t>
      </w:r>
      <w:proofErr w:type="spellStart"/>
      <w:r>
        <w:t>NexSolveAI</w:t>
      </w:r>
      <w:proofErr w:type="spellEnd"/>
      <w:r w:rsidR="00F34602">
        <w:t xml:space="preserve"> Institute of Engineering Sciences and Technology</w:t>
      </w:r>
      <w:r>
        <w:t>, Lahore, Pakistan (</w:t>
      </w:r>
      <w:r w:rsidR="00F34602">
        <w:t xml:space="preserve">fictional; not an existing or </w:t>
      </w:r>
      <w:proofErr w:type="gramStart"/>
      <w:r w:rsidR="00F34602">
        <w:t xml:space="preserve">accredited </w:t>
      </w:r>
      <w:r w:rsidR="00F34602">
        <w:t xml:space="preserve"> Institute</w:t>
      </w:r>
      <w:proofErr w:type="gramEnd"/>
      <w:r>
        <w:t>).</w:t>
      </w:r>
    </w:p>
    <w:p w:rsidR="00041BBF" w:rsidRDefault="00DA1DCA" w:rsidP="00F34602">
      <w:pPr>
        <w:jc w:val="both"/>
      </w:pPr>
      <w:r>
        <w:t>* Mentor and correspondi</w:t>
      </w:r>
      <w:r>
        <w:t>ng author: Dr. Muhammad Hassan Sayyad | info@nexsolveai.net</w:t>
      </w:r>
    </w:p>
    <w:p w:rsidR="00041BBF" w:rsidRDefault="00DA1DCA" w:rsidP="00F34602">
      <w:pPr>
        <w:jc w:val="both"/>
      </w:pPr>
      <w:r>
        <w:t>EDUCATIONAL SAMPLE — constructed synthetic values; no physical experiment, paired-wavelength test, or peer review. Names and contribution statements require approval before public distribution.</w:t>
      </w:r>
    </w:p>
    <w:p w:rsidR="00041BBF" w:rsidRDefault="00DA1DCA">
      <w:pPr>
        <w:pStyle w:val="Heading1"/>
      </w:pPr>
      <w:r>
        <w:t>Ab</w:t>
      </w:r>
      <w:r>
        <w:t>stract</w:t>
      </w:r>
    </w:p>
    <w:p w:rsidR="00041BBF" w:rsidRDefault="00DA1DCA" w:rsidP="00F34602">
      <w:pPr>
        <w:jc w:val="both"/>
      </w:pPr>
      <w:r>
        <w:t>Background: Particle scattering may complicate absorbance-based concentration estimates in turbid samples. Objective: To demonstrate transparent reporting of constructed single-channel calibration data and formulate a testable two-wavelength protoco</w:t>
      </w:r>
      <w:r>
        <w:t xml:space="preserve">l. Methods: Six concentrations (0–10 mg/L) were assigned deterministic absorbance values under two illustrative optical conditions, using Aclear = 0.070 + 0.061c and Aturbid = 0.080 + 0.047c. These are constructed numerical relationships, not a physically </w:t>
      </w:r>
      <w:r>
        <w:t>parameterized scattering simulation. A prospective paired-wavelength comparison is specified but not executed. Results: The constructed slopes are 0.061 and 0.047 absorbance units per mg/L. The lines intersect at approximately 0.714 mg/L. No independent te</w:t>
      </w:r>
      <w:r>
        <w:t>st errors or uncertainty estimates are available. Conclusions: The example demonstrates how calibration trends and untested hypotheses should be reported; it cannot establish a benefit from dual-wavelength estimation.</w:t>
      </w:r>
    </w:p>
    <w:p w:rsidR="00041BBF" w:rsidRDefault="00DA1DCA">
      <w:r>
        <w:t>Keywords: educational sample; construc</w:t>
      </w:r>
      <w:r>
        <w:t>ted data; optical absorbance; turbidity; dual wavelength; calibration; research reporting</w:t>
      </w:r>
    </w:p>
    <w:p w:rsidR="00041BBF" w:rsidRDefault="00DA1DCA">
      <w:pPr>
        <w:pStyle w:val="Heading1"/>
      </w:pPr>
      <w:r>
        <w:t>1. Introduction</w:t>
      </w:r>
    </w:p>
    <w:p w:rsidR="00041BBF" w:rsidRDefault="00DA1DCA" w:rsidP="00F34602">
      <w:pPr>
        <w:jc w:val="both"/>
      </w:pPr>
      <w:r>
        <w:t>The Beer–Lambert relationship links decadic absorbance to the concentration of an absorbing species under appropriate optical assumptions [1]. Suspend</w:t>
      </w:r>
      <w:r>
        <w:t>ed particles can scatter light, altering measured transmission and potentially changing apparent absorbance according to sample and detector geometry [4,5]. This makes calibration transfer between clear and turbid samples a meaningful scientific question.</w:t>
      </w:r>
    </w:p>
    <w:p w:rsidR="00041BBF" w:rsidRDefault="00DA1DCA" w:rsidP="00F34602">
      <w:pPr>
        <w:jc w:val="both"/>
      </w:pPr>
      <w:r>
        <w:t xml:space="preserve">Dual-wavelength spectrophotometry has been analyzed theoretically for turbid samples [2], and reference-wavelength selection is a key design decision [3]. More detailed treatments consider wavelength-dependent scattering and optical path length [4], while </w:t>
      </w:r>
      <w:r>
        <w:t>detector collection of scattered light can also change the apparent signal [5]. These approaches cannot be treated as interchangeable: subtraction requires a suitable reference channel, regression requires paired data and validation, and a physically based</w:t>
      </w:r>
      <w:r>
        <w:t xml:space="preserve"> scattering model requires optical parameters.</w:t>
      </w:r>
    </w:p>
    <w:p w:rsidR="00041BBF" w:rsidRDefault="00DA1DCA" w:rsidP="00F34602">
      <w:pPr>
        <w:jc w:val="both"/>
      </w:pPr>
      <w:r>
        <w:t>This article is a teaching example rather than a completed test of any correction method. It demonstrates a transparent constructed dataset, identifies the limits of inference, and states a future research pro</w:t>
      </w:r>
      <w:r>
        <w:t>tocol suitable for student investigation.</w:t>
      </w:r>
    </w:p>
    <w:p w:rsidR="00041BBF" w:rsidRDefault="00DA1DCA">
      <w:pPr>
        <w:pStyle w:val="Heading2"/>
      </w:pPr>
      <w:r>
        <w:lastRenderedPageBreak/>
        <w:t>1.1 Research question and hypothesis</w:t>
      </w:r>
    </w:p>
    <w:p w:rsidR="00041BBF" w:rsidRDefault="00DA1DCA" w:rsidP="00F34602">
      <w:pPr>
        <w:jc w:val="both"/>
      </w:pPr>
      <w:r>
        <w:t>Future research question: When dye concentration and turbidity vary independently, does a paired two-wavelength estimator yield lower held-out concentration error than a one-wav</w:t>
      </w:r>
      <w:r>
        <w:t>elength baseline? Hypothesis (untested): A carefully selected reference wavelength may improve predictions when its response to dye absorption differs from its response to scattering. Null hypothesis: The paired model offers no reduction in expected held-o</w:t>
      </w:r>
      <w:r>
        <w:t>ut error. No present data test either hypothesis.</w:t>
      </w:r>
    </w:p>
    <w:p w:rsidR="00041BBF" w:rsidRDefault="00DA1DCA">
      <w:pPr>
        <w:pStyle w:val="Heading2"/>
      </w:pPr>
      <w:r>
        <w:t>1.2 Scope and contribution</w:t>
      </w:r>
    </w:p>
    <w:p w:rsidR="00041BBF" w:rsidRDefault="00DA1DCA" w:rsidP="00F34602">
      <w:pPr>
        <w:jc w:val="both"/>
      </w:pPr>
      <w:r>
        <w:t>The present contribution is limited to reproducible arithmetic for six constructed concentration points, a transparent distinction between completed and proposed work, and a prede</w:t>
      </w:r>
      <w:r>
        <w:t>clared prospective validation plan. It is not a new optical method, a validated sensor, or a reproducible physical scattering simulation.</w:t>
      </w:r>
    </w:p>
    <w:p w:rsidR="00041BBF" w:rsidRDefault="00DA1DCA">
      <w:pPr>
        <w:pStyle w:val="Heading1"/>
      </w:pPr>
      <w:r>
        <w:t>2. Materials and Methods</w:t>
      </w:r>
    </w:p>
    <w:p w:rsidR="00041BBF" w:rsidRDefault="00DA1DCA">
      <w:pPr>
        <w:pStyle w:val="Heading2"/>
      </w:pPr>
      <w:r>
        <w:t>2.1 Completed construction of the illustrative dataset</w:t>
      </w:r>
    </w:p>
    <w:p w:rsidR="00041BBF" w:rsidRDefault="00DA1DCA" w:rsidP="00F34602">
      <w:pPr>
        <w:jc w:val="both"/>
      </w:pPr>
      <w:r>
        <w:t>The independent variable is dye concen</w:t>
      </w:r>
      <w:r>
        <w:t>tration c in mg/L, with c = 0, 2, 4, 6, 8, and 10. Two dimensionless decadic absorbance series were constructed using the exact deterministic expressions below. No dye, wavelength, turbidity units, optical path length, instrument, noise distribution, or ra</w:t>
      </w:r>
      <w:r>
        <w:t>ndom seed was specified. “Clear” and “turbid” are illustrative labels only; the coefficients are not inferred from a physical scattering model.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82"/>
        <w:gridCol w:w="4882"/>
      </w:tblGrid>
      <w:tr w:rsidR="00041BBF">
        <w:tc>
          <w:tcPr>
            <w:tcW w:w="4882" w:type="dxa"/>
          </w:tcPr>
          <w:p w:rsidR="00041BBF" w:rsidRDefault="00DA1DCA">
            <w:pPr>
              <w:jc w:val="center"/>
            </w:pPr>
            <w:r>
              <w:rPr>
                <w:rFonts w:ascii="Cambria Math" w:hAnsi="Cambria Math"/>
                <w:sz w:val="22"/>
              </w:rPr>
              <w:t>A</w:t>
            </w:r>
            <w:r>
              <w:rPr>
                <w:rFonts w:ascii="Cambria Math" w:hAnsi="Cambria Math"/>
                <w:sz w:val="22"/>
                <w:vertAlign w:val="subscript"/>
              </w:rPr>
              <w:t>clear</w:t>
            </w:r>
            <w:r>
              <w:rPr>
                <w:rFonts w:ascii="Cambria Math" w:hAnsi="Cambria Math"/>
                <w:sz w:val="22"/>
              </w:rPr>
              <w:t xml:space="preserve"> = 0.070 + 0.061c</w:t>
            </w:r>
          </w:p>
        </w:tc>
        <w:tc>
          <w:tcPr>
            <w:tcW w:w="4882" w:type="dxa"/>
          </w:tcPr>
          <w:p w:rsidR="00041BBF" w:rsidRDefault="00DA1DCA">
            <w:pPr>
              <w:jc w:val="right"/>
            </w:pPr>
            <w:r>
              <w:t>(1)</w:t>
            </w:r>
          </w:p>
        </w:tc>
      </w:tr>
      <w:tr w:rsidR="00041BBF">
        <w:tc>
          <w:tcPr>
            <w:tcW w:w="4882" w:type="dxa"/>
          </w:tcPr>
          <w:p w:rsidR="00041BBF" w:rsidRDefault="00DA1DCA">
            <w:pPr>
              <w:jc w:val="center"/>
            </w:pPr>
            <w:r>
              <w:rPr>
                <w:rFonts w:ascii="Cambria Math" w:hAnsi="Cambria Math"/>
                <w:sz w:val="22"/>
              </w:rPr>
              <w:t>A</w:t>
            </w:r>
            <w:r>
              <w:rPr>
                <w:rFonts w:ascii="Cambria Math" w:hAnsi="Cambria Math"/>
                <w:sz w:val="22"/>
                <w:vertAlign w:val="subscript"/>
              </w:rPr>
              <w:t>turbid</w:t>
            </w:r>
            <w:r>
              <w:rPr>
                <w:rFonts w:ascii="Cambria Math" w:hAnsi="Cambria Math"/>
                <w:sz w:val="22"/>
              </w:rPr>
              <w:t xml:space="preserve"> = 0.080 + 0.047c</w:t>
            </w:r>
          </w:p>
        </w:tc>
        <w:tc>
          <w:tcPr>
            <w:tcW w:w="4882" w:type="dxa"/>
          </w:tcPr>
          <w:p w:rsidR="00041BBF" w:rsidRDefault="00DA1DCA">
            <w:pPr>
              <w:jc w:val="right"/>
            </w:pPr>
            <w:r>
              <w:t>(2)</w:t>
            </w:r>
          </w:p>
        </w:tc>
      </w:tr>
    </w:tbl>
    <w:p w:rsidR="00041BBF" w:rsidRDefault="00DA1DCA" w:rsidP="00F34602">
      <w:pPr>
        <w:jc w:val="both"/>
      </w:pPr>
      <w:r>
        <w:t xml:space="preserve">The coefficients 0.061 and 0.047 have units L mg⁻¹ </w:t>
      </w:r>
      <w:r>
        <w:t>when c is expressed in mg/L; the intercepts and absorbances are dimensionless. These equations exactly reproduce the table, but they are not experimentally calibrated.</w:t>
      </w:r>
    </w:p>
    <w:p w:rsidR="00041BBF" w:rsidRDefault="00DA1DCA">
      <w:pPr>
        <w:pStyle w:val="Heading2"/>
      </w:pPr>
      <w:r>
        <w:t>2.2 Conceptual physical model (not implemented)</w:t>
      </w:r>
    </w:p>
    <w:p w:rsidR="00041BBF" w:rsidRDefault="00DA1DCA" w:rsidP="00F34602">
      <w:pPr>
        <w:jc w:val="both"/>
      </w:pPr>
      <w:r>
        <w:t>A prospective model for decadic absorban</w:t>
      </w:r>
      <w:r>
        <w:t>ce at wavelength λ may be written as Equation (3), where ε is the effective decadic absorption coefficient (L mg⁻¹ cm⁻¹), L is optical path length (cm), S is an approximate dimensionless scattering contribution, τ is a defined turbidity descriptor, and η i</w:t>
      </w:r>
      <w:r>
        <w:t>s a dimensionless noise term. Additivity of S is a simplifying assumption and may fail under multiple scattering or geometry-dependent light collection [4,5].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82"/>
        <w:gridCol w:w="4882"/>
      </w:tblGrid>
      <w:tr w:rsidR="00041BBF">
        <w:tc>
          <w:tcPr>
            <w:tcW w:w="4882" w:type="dxa"/>
          </w:tcPr>
          <w:p w:rsidR="00041BBF" w:rsidRDefault="00DA1DCA">
            <w:pPr>
              <w:jc w:val="center"/>
            </w:pPr>
            <w:r>
              <w:rPr>
                <w:rFonts w:ascii="Cambria Math" w:hAnsi="Cambria Math"/>
                <w:sz w:val="22"/>
              </w:rPr>
              <w:t>A(λ) = ε(λ)cL + S(λ, τ) + η(λ)</w:t>
            </w:r>
          </w:p>
        </w:tc>
        <w:tc>
          <w:tcPr>
            <w:tcW w:w="4882" w:type="dxa"/>
          </w:tcPr>
          <w:p w:rsidR="00041BBF" w:rsidRDefault="00DA1DCA">
            <w:pPr>
              <w:jc w:val="right"/>
            </w:pPr>
            <w:r>
              <w:t>(3)</w:t>
            </w:r>
          </w:p>
        </w:tc>
      </w:tr>
    </w:tbl>
    <w:p w:rsidR="00041BBF" w:rsidRDefault="00DA1DCA">
      <w:r>
        <w:rPr>
          <w:noProof/>
        </w:rPr>
        <w:drawing>
          <wp:inline distT="0" distB="0" distL="0" distR="0">
            <wp:extent cx="6126480" cy="198127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kflow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981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1BBF" w:rsidRDefault="00DA1DCA" w:rsidP="00F34602">
      <w:pPr>
        <w:pStyle w:val="Caption"/>
        <w:jc w:val="both"/>
      </w:pPr>
      <w:r>
        <w:t>Figure 1. Actual constructed single-channel arithmetic (sol</w:t>
      </w:r>
      <w:r>
        <w:t>id boxes) versus a proposed paired-wavelength simulation and validation (dashed boxes). The latter was not executed.</w:t>
      </w:r>
    </w:p>
    <w:p w:rsidR="00041BBF" w:rsidRDefault="00DA1DCA">
      <w:pPr>
        <w:pStyle w:val="Heading2"/>
      </w:pPr>
      <w:r>
        <w:t>2.3 Tabulated constructed values</w:t>
      </w:r>
    </w:p>
    <w:tbl>
      <w:tblPr>
        <w:tblStyle w:val="LightShading-Accent1"/>
        <w:tblW w:w="0" w:type="auto"/>
        <w:tblLook w:val="04A0" w:firstRow="1" w:lastRow="0" w:firstColumn="1" w:lastColumn="0" w:noHBand="0" w:noVBand="1"/>
      </w:tblPr>
      <w:tblGrid>
        <w:gridCol w:w="3255"/>
        <w:gridCol w:w="3255"/>
        <w:gridCol w:w="3255"/>
      </w:tblGrid>
      <w:tr w:rsidR="00041BBF" w:rsidTr="00041B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5" w:type="dxa"/>
          </w:tcPr>
          <w:p w:rsidR="00041BBF" w:rsidRDefault="00DA1DCA">
            <w:r>
              <w:t>Concentration (mg/L)</w:t>
            </w:r>
          </w:p>
        </w:tc>
        <w:tc>
          <w:tcPr>
            <w:tcW w:w="3255" w:type="dxa"/>
          </w:tcPr>
          <w:p w:rsidR="00041BBF" w:rsidRDefault="00DA1D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Illustrative clear A</w:t>
            </w:r>
          </w:p>
        </w:tc>
        <w:tc>
          <w:tcPr>
            <w:tcW w:w="3255" w:type="dxa"/>
          </w:tcPr>
          <w:p w:rsidR="00041BBF" w:rsidRDefault="00DA1D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Illustrative turbid A</w:t>
            </w:r>
          </w:p>
        </w:tc>
      </w:tr>
      <w:tr w:rsidR="00041BBF" w:rsidTr="00041B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5" w:type="dxa"/>
          </w:tcPr>
          <w:p w:rsidR="00041BBF" w:rsidRDefault="00DA1DCA">
            <w:r>
              <w:t>0</w:t>
            </w:r>
          </w:p>
        </w:tc>
        <w:tc>
          <w:tcPr>
            <w:tcW w:w="3255" w:type="dxa"/>
          </w:tcPr>
          <w:p w:rsidR="00041BBF" w:rsidRDefault="00DA1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0.070</w:t>
            </w:r>
          </w:p>
        </w:tc>
        <w:tc>
          <w:tcPr>
            <w:tcW w:w="3255" w:type="dxa"/>
          </w:tcPr>
          <w:p w:rsidR="00041BBF" w:rsidRDefault="00DA1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0.080</w:t>
            </w:r>
          </w:p>
        </w:tc>
      </w:tr>
      <w:tr w:rsidR="00041BBF" w:rsidTr="00041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5" w:type="dxa"/>
          </w:tcPr>
          <w:p w:rsidR="00041BBF" w:rsidRDefault="00DA1DCA">
            <w:r>
              <w:t>2</w:t>
            </w:r>
          </w:p>
        </w:tc>
        <w:tc>
          <w:tcPr>
            <w:tcW w:w="3255" w:type="dxa"/>
          </w:tcPr>
          <w:p w:rsidR="00041BBF" w:rsidRDefault="00DA1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0.192</w:t>
            </w:r>
          </w:p>
        </w:tc>
        <w:tc>
          <w:tcPr>
            <w:tcW w:w="3255" w:type="dxa"/>
          </w:tcPr>
          <w:p w:rsidR="00041BBF" w:rsidRDefault="00DA1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0.174</w:t>
            </w:r>
          </w:p>
        </w:tc>
      </w:tr>
      <w:tr w:rsidR="00041BBF" w:rsidTr="00041B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5" w:type="dxa"/>
          </w:tcPr>
          <w:p w:rsidR="00041BBF" w:rsidRDefault="00DA1DCA">
            <w:r>
              <w:t>4</w:t>
            </w:r>
          </w:p>
        </w:tc>
        <w:tc>
          <w:tcPr>
            <w:tcW w:w="3255" w:type="dxa"/>
          </w:tcPr>
          <w:p w:rsidR="00041BBF" w:rsidRDefault="00DA1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0.314</w:t>
            </w:r>
          </w:p>
        </w:tc>
        <w:tc>
          <w:tcPr>
            <w:tcW w:w="3255" w:type="dxa"/>
          </w:tcPr>
          <w:p w:rsidR="00041BBF" w:rsidRDefault="00DA1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0.268</w:t>
            </w:r>
          </w:p>
        </w:tc>
      </w:tr>
      <w:tr w:rsidR="00041BBF" w:rsidTr="00041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5" w:type="dxa"/>
          </w:tcPr>
          <w:p w:rsidR="00041BBF" w:rsidRDefault="00DA1DCA">
            <w:r>
              <w:t>6</w:t>
            </w:r>
          </w:p>
        </w:tc>
        <w:tc>
          <w:tcPr>
            <w:tcW w:w="3255" w:type="dxa"/>
          </w:tcPr>
          <w:p w:rsidR="00041BBF" w:rsidRDefault="00DA1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0.436</w:t>
            </w:r>
          </w:p>
        </w:tc>
        <w:tc>
          <w:tcPr>
            <w:tcW w:w="3255" w:type="dxa"/>
          </w:tcPr>
          <w:p w:rsidR="00041BBF" w:rsidRDefault="00DA1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0.362</w:t>
            </w:r>
          </w:p>
        </w:tc>
      </w:tr>
      <w:tr w:rsidR="00041BBF" w:rsidTr="00041B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5" w:type="dxa"/>
          </w:tcPr>
          <w:p w:rsidR="00041BBF" w:rsidRDefault="00DA1DCA">
            <w:r>
              <w:t>8</w:t>
            </w:r>
          </w:p>
        </w:tc>
        <w:tc>
          <w:tcPr>
            <w:tcW w:w="3255" w:type="dxa"/>
          </w:tcPr>
          <w:p w:rsidR="00041BBF" w:rsidRDefault="00DA1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0.558</w:t>
            </w:r>
          </w:p>
        </w:tc>
        <w:tc>
          <w:tcPr>
            <w:tcW w:w="3255" w:type="dxa"/>
          </w:tcPr>
          <w:p w:rsidR="00041BBF" w:rsidRDefault="00DA1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0.456</w:t>
            </w:r>
          </w:p>
        </w:tc>
      </w:tr>
      <w:tr w:rsidR="00041BBF" w:rsidTr="00041B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5" w:type="dxa"/>
          </w:tcPr>
          <w:p w:rsidR="00041BBF" w:rsidRDefault="00DA1DCA">
            <w:r>
              <w:t>10</w:t>
            </w:r>
          </w:p>
        </w:tc>
        <w:tc>
          <w:tcPr>
            <w:tcW w:w="3255" w:type="dxa"/>
          </w:tcPr>
          <w:p w:rsidR="00041BBF" w:rsidRDefault="00DA1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0.680</w:t>
            </w:r>
          </w:p>
        </w:tc>
        <w:tc>
          <w:tcPr>
            <w:tcW w:w="3255" w:type="dxa"/>
          </w:tcPr>
          <w:p w:rsidR="00041BBF" w:rsidRDefault="00DA1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0.550</w:t>
            </w:r>
          </w:p>
        </w:tc>
      </w:tr>
    </w:tbl>
    <w:p w:rsidR="00041BBF" w:rsidRDefault="00DA1DCA">
      <w:pPr>
        <w:pStyle w:val="Caption"/>
      </w:pPr>
      <w:r>
        <w:t>Table 1. Constructed, dimensionless absorbances. Each value follows Equations (1) and (2); these are not measured observations.</w:t>
      </w:r>
    </w:p>
    <w:p w:rsidR="00041BBF" w:rsidRDefault="00DA1DCA">
      <w:pPr>
        <w:pStyle w:val="Heading2"/>
      </w:pPr>
      <w:r>
        <w:t>2.4 Prospective two-wavelength study protocol (not performed)</w:t>
      </w:r>
    </w:p>
    <w:p w:rsidR="00041BBF" w:rsidRDefault="00DA1DCA" w:rsidP="00F34602">
      <w:pPr>
        <w:jc w:val="both"/>
      </w:pPr>
      <w:r>
        <w:t xml:space="preserve">Select a dye </w:t>
      </w:r>
      <w:r>
        <w:t>with a measured absorption spectrum. Choose λ₁ near a dye-sensitive absorption band and λ₂ where dye absorption is lower but background scattering remains measurable; confirm this experimentally or in a documented optical model. Prespecify wavelength choic</w:t>
      </w:r>
      <w:r>
        <w:t>es before testing. For each independently varied concentration–turbidity condition, generate or measure paired A(λ₁) and A(λ₂), along with dye-free turbidity blanks and clear-water calibration controls. Record sample path length, geometry, detector respons</w:t>
      </w:r>
      <w:r>
        <w:t>e, and optical parameters.</w:t>
      </w:r>
    </w:p>
    <w:p w:rsidR="00041BBF" w:rsidRDefault="00DA1DCA" w:rsidP="00F34602">
      <w:pPr>
        <w:jc w:val="both"/>
      </w:pPr>
      <w:r>
        <w:t xml:space="preserve">Fit a one-channel baseline and a paired-channel regression on training conditions only. Hold out entire concentration–turbidity combinations, not merely replicate readings from conditions also used in training. Choose wavelength </w:t>
      </w:r>
      <w:r>
        <w:t>pairs, preprocessing, and model complexity within training/validation folds. Compare predictions on the same held-out samples; include a clear-calibration-to-turbid-transfer baseline. Repeat simulations across prespecified detector-noise, baseline-drift, w</w:t>
      </w:r>
      <w:r>
        <w:t>avelength-mismatch, and turbidity scenarios; distinguish numerical Monte Carlo variability from physical instrument repeatability.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82"/>
        <w:gridCol w:w="4882"/>
      </w:tblGrid>
      <w:tr w:rsidR="00041BBF">
        <w:tc>
          <w:tcPr>
            <w:tcW w:w="4882" w:type="dxa"/>
          </w:tcPr>
          <w:p w:rsidR="00041BBF" w:rsidRDefault="00DA1DCA">
            <w:pPr>
              <w:jc w:val="center"/>
            </w:pPr>
            <w:r>
              <w:rPr>
                <w:rFonts w:ascii="Cambria Math" w:hAnsi="Cambria Math"/>
                <w:sz w:val="22"/>
              </w:rPr>
              <w:t>ĉ</w:t>
            </w:r>
            <w:r>
              <w:rPr>
                <w:rFonts w:ascii="Cambria Math" w:hAnsi="Cambria Math"/>
                <w:sz w:val="22"/>
                <w:vertAlign w:val="subscript"/>
              </w:rPr>
              <w:t>1</w:t>
            </w:r>
            <w:r>
              <w:rPr>
                <w:rFonts w:ascii="Cambria Math" w:hAnsi="Cambria Math"/>
                <w:sz w:val="22"/>
              </w:rPr>
              <w:t xml:space="preserve"> = a</w:t>
            </w:r>
            <w:r>
              <w:rPr>
                <w:rFonts w:ascii="Cambria Math" w:hAnsi="Cambria Math"/>
                <w:sz w:val="22"/>
                <w:vertAlign w:val="subscript"/>
              </w:rPr>
              <w:t>0</w:t>
            </w:r>
            <w:r>
              <w:rPr>
                <w:rFonts w:ascii="Cambria Math" w:hAnsi="Cambria Math"/>
                <w:sz w:val="22"/>
              </w:rPr>
              <w:t xml:space="preserve"> + a</w:t>
            </w:r>
            <w:r>
              <w:rPr>
                <w:rFonts w:ascii="Cambria Math" w:hAnsi="Cambria Math"/>
                <w:sz w:val="22"/>
                <w:vertAlign w:val="subscript"/>
              </w:rPr>
              <w:t>1</w:t>
            </w:r>
            <w:r>
              <w:rPr>
                <w:rFonts w:ascii="Cambria Math" w:hAnsi="Cambria Math"/>
                <w:sz w:val="22"/>
              </w:rPr>
              <w:t>A(λ</w:t>
            </w:r>
            <w:r>
              <w:rPr>
                <w:rFonts w:ascii="Cambria Math" w:hAnsi="Cambria Math"/>
                <w:sz w:val="22"/>
                <w:vertAlign w:val="subscript"/>
              </w:rPr>
              <w:t>1</w:t>
            </w:r>
            <w:r>
              <w:rPr>
                <w:rFonts w:ascii="Cambria Math" w:hAnsi="Cambria Math"/>
                <w:sz w:val="22"/>
              </w:rPr>
              <w:t>)</w:t>
            </w:r>
          </w:p>
        </w:tc>
        <w:tc>
          <w:tcPr>
            <w:tcW w:w="4882" w:type="dxa"/>
          </w:tcPr>
          <w:p w:rsidR="00041BBF" w:rsidRDefault="00DA1DCA">
            <w:pPr>
              <w:jc w:val="right"/>
            </w:pPr>
            <w:r>
              <w:t>(4)</w:t>
            </w:r>
          </w:p>
        </w:tc>
      </w:tr>
      <w:tr w:rsidR="00041BBF">
        <w:tc>
          <w:tcPr>
            <w:tcW w:w="4882" w:type="dxa"/>
          </w:tcPr>
          <w:p w:rsidR="00041BBF" w:rsidRDefault="00DA1DCA">
            <w:pPr>
              <w:jc w:val="center"/>
            </w:pPr>
            <w:r>
              <w:rPr>
                <w:rFonts w:ascii="Cambria Math" w:hAnsi="Cambria Math"/>
                <w:sz w:val="22"/>
              </w:rPr>
              <w:t>ĉ</w:t>
            </w:r>
            <w:r>
              <w:rPr>
                <w:rFonts w:ascii="Cambria Math" w:hAnsi="Cambria Math"/>
                <w:sz w:val="22"/>
                <w:vertAlign w:val="subscript"/>
              </w:rPr>
              <w:t>2</w:t>
            </w:r>
            <w:r>
              <w:rPr>
                <w:rFonts w:ascii="Cambria Math" w:hAnsi="Cambria Math"/>
                <w:sz w:val="22"/>
              </w:rPr>
              <w:t xml:space="preserve"> = b</w:t>
            </w:r>
            <w:r>
              <w:rPr>
                <w:rFonts w:ascii="Cambria Math" w:hAnsi="Cambria Math"/>
                <w:sz w:val="22"/>
                <w:vertAlign w:val="subscript"/>
              </w:rPr>
              <w:t>0</w:t>
            </w:r>
            <w:r>
              <w:rPr>
                <w:rFonts w:ascii="Cambria Math" w:hAnsi="Cambria Math"/>
                <w:sz w:val="22"/>
              </w:rPr>
              <w:t xml:space="preserve"> + b</w:t>
            </w:r>
            <w:r>
              <w:rPr>
                <w:rFonts w:ascii="Cambria Math" w:hAnsi="Cambria Math"/>
                <w:sz w:val="22"/>
                <w:vertAlign w:val="subscript"/>
              </w:rPr>
              <w:t>1</w:t>
            </w:r>
            <w:r>
              <w:rPr>
                <w:rFonts w:ascii="Cambria Math" w:hAnsi="Cambria Math"/>
                <w:sz w:val="22"/>
              </w:rPr>
              <w:t>A(λ</w:t>
            </w:r>
            <w:r>
              <w:rPr>
                <w:rFonts w:ascii="Cambria Math" w:hAnsi="Cambria Math"/>
                <w:sz w:val="22"/>
                <w:vertAlign w:val="subscript"/>
              </w:rPr>
              <w:t>1</w:t>
            </w:r>
            <w:r>
              <w:rPr>
                <w:rFonts w:ascii="Cambria Math" w:hAnsi="Cambria Math"/>
                <w:sz w:val="22"/>
              </w:rPr>
              <w:t>) + b</w:t>
            </w:r>
            <w:r>
              <w:rPr>
                <w:rFonts w:ascii="Cambria Math" w:hAnsi="Cambria Math"/>
                <w:sz w:val="22"/>
                <w:vertAlign w:val="subscript"/>
              </w:rPr>
              <w:t>2</w:t>
            </w:r>
            <w:r>
              <w:rPr>
                <w:rFonts w:ascii="Cambria Math" w:hAnsi="Cambria Math"/>
                <w:sz w:val="22"/>
              </w:rPr>
              <w:t>A(λ</w:t>
            </w:r>
            <w:r>
              <w:rPr>
                <w:rFonts w:ascii="Cambria Math" w:hAnsi="Cambria Math"/>
                <w:sz w:val="22"/>
                <w:vertAlign w:val="subscript"/>
              </w:rPr>
              <w:t>2</w:t>
            </w:r>
            <w:r>
              <w:rPr>
                <w:rFonts w:ascii="Cambria Math" w:hAnsi="Cambria Math"/>
                <w:sz w:val="22"/>
              </w:rPr>
              <w:t>)</w:t>
            </w:r>
          </w:p>
        </w:tc>
        <w:tc>
          <w:tcPr>
            <w:tcW w:w="4882" w:type="dxa"/>
          </w:tcPr>
          <w:p w:rsidR="00041BBF" w:rsidRDefault="00DA1DCA">
            <w:pPr>
              <w:jc w:val="right"/>
            </w:pPr>
            <w:r>
              <w:t>(5)</w:t>
            </w:r>
          </w:p>
        </w:tc>
      </w:tr>
      <w:tr w:rsidR="00041BBF">
        <w:tc>
          <w:tcPr>
            <w:tcW w:w="4882" w:type="dxa"/>
          </w:tcPr>
          <w:p w:rsidR="00041BBF" w:rsidRDefault="00DA1DCA">
            <w:pPr>
              <w:jc w:val="center"/>
            </w:pPr>
            <w:r>
              <w:rPr>
                <w:rFonts w:ascii="Cambria Math" w:hAnsi="Cambria Math"/>
                <w:sz w:val="22"/>
              </w:rPr>
              <w:t>MAE = (1/N) Σ</w:t>
            </w:r>
            <w:r>
              <w:rPr>
                <w:rFonts w:ascii="Cambria Math" w:hAnsi="Cambria Math"/>
                <w:sz w:val="22"/>
                <w:vertAlign w:val="subscript"/>
              </w:rPr>
              <w:t>i</w:t>
            </w:r>
            <w:r>
              <w:rPr>
                <w:rFonts w:ascii="Cambria Math" w:hAnsi="Cambria Math"/>
                <w:sz w:val="22"/>
              </w:rPr>
              <w:t xml:space="preserve"> |ĉ</w:t>
            </w:r>
            <w:r>
              <w:rPr>
                <w:rFonts w:ascii="Cambria Math" w:hAnsi="Cambria Math"/>
                <w:sz w:val="22"/>
                <w:vertAlign w:val="subscript"/>
              </w:rPr>
              <w:t>i</w:t>
            </w:r>
            <w:r>
              <w:rPr>
                <w:rFonts w:ascii="Cambria Math" w:hAnsi="Cambria Math"/>
                <w:sz w:val="22"/>
              </w:rPr>
              <w:t xml:space="preserve"> − c</w:t>
            </w:r>
            <w:r>
              <w:rPr>
                <w:rFonts w:ascii="Cambria Math" w:hAnsi="Cambria Math"/>
                <w:sz w:val="22"/>
                <w:vertAlign w:val="subscript"/>
              </w:rPr>
              <w:t>i</w:t>
            </w:r>
            <w:r>
              <w:rPr>
                <w:rFonts w:ascii="Cambria Math" w:hAnsi="Cambria Math"/>
                <w:sz w:val="22"/>
              </w:rPr>
              <w:t>|</w:t>
            </w:r>
          </w:p>
        </w:tc>
        <w:tc>
          <w:tcPr>
            <w:tcW w:w="4882" w:type="dxa"/>
          </w:tcPr>
          <w:p w:rsidR="00041BBF" w:rsidRDefault="00DA1DCA">
            <w:pPr>
              <w:jc w:val="right"/>
            </w:pPr>
            <w:r>
              <w:t>(6)</w:t>
            </w:r>
          </w:p>
        </w:tc>
      </w:tr>
    </w:tbl>
    <w:p w:rsidR="00041BBF" w:rsidRDefault="00DA1DCA" w:rsidP="00F34602">
      <w:pPr>
        <w:jc w:val="both"/>
      </w:pPr>
      <w:r>
        <w:t>Here ĉ₁ and ĉ₂ are estimated concentrat</w:t>
      </w:r>
      <w:r>
        <w:t>ions from one- and two-channel models; aⱼ and bⱼ are fitted coefficients; N is the number of independent held-out predictions; and i indexes held-out samples. Primary outcome: held-out mean absolute error (MAE, mg/L); secondary outcomes: signed bias, root-</w:t>
      </w:r>
      <w:r>
        <w:t>mean-square error, and performance by turbidity. Report uncertainty intervals from independent simulation repetitions. None of these outcomes is available for the current six-row example.</w:t>
      </w:r>
    </w:p>
    <w:p w:rsidR="00041BBF" w:rsidRDefault="00DA1DCA">
      <w:pPr>
        <w:pStyle w:val="Heading1"/>
      </w:pPr>
      <w:r>
        <w:t>3. Results</w:t>
      </w:r>
    </w:p>
    <w:p w:rsidR="00041BBF" w:rsidRDefault="00DA1DCA" w:rsidP="00F34602">
      <w:pPr>
        <w:jc w:val="both"/>
      </w:pPr>
      <w:r>
        <w:t>The constructed clear and turbid lines have slopes of 0.0</w:t>
      </w:r>
      <w:r>
        <w:t>61 and 0.047 absorbance units per mg/L, respectively, and intercepts 0.070 and 0.080. Equating the two expressions gives c = (0.080 − 0.070)/(0.061 − 0.047) ≈ 0.714 mg/L, explaining their low-concentration intersection. At 10 mg/L, the constructed absorban</w:t>
      </w:r>
      <w:r>
        <w:t>ces are 0.680 and 0.550. The difference in slopes is an assigned property of the numerical example; it does not demonstrate scattering physics.</w:t>
      </w:r>
    </w:p>
    <w:p w:rsidR="00041BBF" w:rsidRDefault="00DA1DCA">
      <w:r>
        <w:rPr>
          <w:noProof/>
        </w:rPr>
        <w:drawing>
          <wp:inline distT="0" distB="0" distL="0" distR="0">
            <wp:extent cx="5852160" cy="273100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ta_plo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2731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1BBF" w:rsidRDefault="00DA1DCA">
      <w:pPr>
        <w:pStyle w:val="Caption"/>
      </w:pPr>
      <w:r>
        <w:t>Figure 2. Exact deterministic lines generated by Equations (1) and (2), not experimental observations or indep</w:t>
      </w:r>
      <w:r>
        <w:t>endent wavelength channels.</w:t>
      </w:r>
    </w:p>
    <w:p w:rsidR="00041BBF" w:rsidRDefault="00DA1DCA" w:rsidP="00F34602">
      <w:pPr>
        <w:jc w:val="both"/>
      </w:pPr>
      <w:r>
        <w:t>No paired second-wavelength data exist. Consequently, no two-wavelength coefficients, held-out MAE, statistical significance, detection limit, or accuracy improvement can be estimated from Table 1.</w:t>
      </w:r>
    </w:p>
    <w:p w:rsidR="00041BBF" w:rsidRDefault="00DA1DCA">
      <w:pPr>
        <w:pStyle w:val="Heading1"/>
      </w:pPr>
      <w:r>
        <w:t>4. Discussion</w:t>
      </w:r>
    </w:p>
    <w:p w:rsidR="00041BBF" w:rsidRDefault="00DA1DCA" w:rsidP="00F34602">
      <w:pPr>
        <w:jc w:val="both"/>
      </w:pPr>
      <w:r>
        <w:t>The different as</w:t>
      </w:r>
      <w:r>
        <w:t>signed slopes illustrate how calibration lines can vary across labeled optical conditions, but their physical origin is not identifiable from the construction. Literature on scattering and multi-wavelength measurements provides a motivation for further stu</w:t>
      </w:r>
      <w:r>
        <w:t>dy [2–5], not confirmation of the untested correction. A defensible evaluation must compare one- and two-channel predictions on identical held-out samples while controlling for dye-free scattering backgrounds and wavelength selection.</w:t>
      </w:r>
    </w:p>
    <w:p w:rsidR="00041BBF" w:rsidRDefault="00DA1DCA">
      <w:pPr>
        <w:pStyle w:val="Heading2"/>
      </w:pPr>
      <w:r>
        <w:t xml:space="preserve">4.1 Applications and </w:t>
      </w:r>
      <w:r>
        <w:t>potential impacts</w:t>
      </w:r>
    </w:p>
    <w:p w:rsidR="00041BBF" w:rsidRDefault="00DA1DCA" w:rsidP="00F34602">
      <w:pPr>
        <w:jc w:val="both"/>
      </w:pPr>
      <w:r>
        <w:t xml:space="preserve">Educational impact is immediate: students can learn model specification, dimensional analysis, data provenance, falsifiable hypotheses, and appropriate reporting of negative or unavailable results. Environmental screening and commercial </w:t>
      </w:r>
      <w:r>
        <w:t>process monitoring are potential future applications only after physically grounded simulations, calibration transfer tests, independent measurements, uncertainty assessment, and application-specific performance thresholds. Public-policy or quality-of-life</w:t>
      </w:r>
      <w:r>
        <w:t xml:space="preserve"> claims would additionally require field validation and appropriate regulatory evaluation. This example does not establish such outcomes.</w:t>
      </w:r>
    </w:p>
    <w:p w:rsidR="00041BBF" w:rsidRDefault="00DA1DCA">
      <w:pPr>
        <w:pStyle w:val="Heading2"/>
      </w:pPr>
      <w:r>
        <w:t>4.2 Limitations</w:t>
      </w:r>
    </w:p>
    <w:p w:rsidR="00041BBF" w:rsidRDefault="00DA1DCA" w:rsidP="00F34602">
      <w:pPr>
        <w:jc w:val="both"/>
      </w:pPr>
      <w:r>
        <w:t>The dataset is constructed, noiseless, and single-channel; clear/turbid labels lack physical turbidity</w:t>
      </w:r>
      <w:r>
        <w:t xml:space="preserve"> units. Dye identity, wavelength, scattering parameters, detector geometry, and experimental controls are absent. The proposed second channel and calibration comparison were not implemented. The work therefore supports arithmetic demonstrations and a futur</w:t>
      </w:r>
      <w:r>
        <w:t>e protocol, not sensor validation, detection limits, or physical claims about scattering.</w:t>
      </w:r>
    </w:p>
    <w:p w:rsidR="00041BBF" w:rsidRDefault="00DA1DCA">
      <w:pPr>
        <w:pStyle w:val="Heading1"/>
      </w:pPr>
      <w:r>
        <w:t>5. Conclusions</w:t>
      </w:r>
    </w:p>
    <w:p w:rsidR="00041BBF" w:rsidRDefault="00DA1DCA" w:rsidP="00F34602">
      <w:pPr>
        <w:jc w:val="both"/>
      </w:pPr>
      <w:r>
        <w:t>Six constructed absorbance values per labeled optical condition illustrate different linear calibration trends. The associated dual-wavelength hypothes</w:t>
      </w:r>
      <w:r>
        <w:t>is is explicitly untested. A genuine research study would require documented optical inputs, paired measurements, relevant blanks, independent held-out conditions, and uncertainty-aware comparisons before concluding that a two-wavelength estimator improves</w:t>
      </w:r>
      <w:r>
        <w:t xml:space="preserve"> accuracy.</w:t>
      </w:r>
    </w:p>
    <w:p w:rsidR="00041BBF" w:rsidRDefault="00DA1DCA">
      <w:pPr>
        <w:pStyle w:val="Heading1"/>
      </w:pPr>
      <w:r>
        <w:t>Declarations and educational-use notice</w:t>
      </w:r>
    </w:p>
    <w:p w:rsidR="00041BBF" w:rsidRDefault="00DA1DCA" w:rsidP="00F34602">
      <w:pPr>
        <w:jc w:val="both"/>
      </w:pPr>
      <w:r>
        <w:t>Status: Educational sample; not peer reviewed or presented as completed original experimental research. Affiliation: “NexSolveAI Online High School” is fictional and does not represent an existing or accre</w:t>
      </w:r>
      <w:r>
        <w:t>dited school. The second affiliation and the names and contributions of all listed individuals require confirmation before public release. Data availability: All constructed values and exact generation formulas appear in this document; no source code or ph</w:t>
      </w:r>
      <w:r>
        <w:t>ysical simulation exists for these data. AI assistance: AI tools assisted in drafting and formatting; named contributors must verify and approve the content. Funding, competing interests, and individual author contributions: not verified; these must be com</w:t>
      </w:r>
      <w:r>
        <w:t>pleted truthfully before any submission under named authors. Ethics: No human or animal participants are described.</w:t>
      </w:r>
    </w:p>
    <w:p w:rsidR="00041BBF" w:rsidRDefault="00DA1DCA">
      <w:pPr>
        <w:pStyle w:val="Heading1"/>
      </w:pPr>
      <w:r>
        <w:t>References</w:t>
      </w:r>
    </w:p>
    <w:p w:rsidR="00041BBF" w:rsidRDefault="00DA1DCA" w:rsidP="00F34602">
      <w:pPr>
        <w:jc w:val="both"/>
      </w:pPr>
      <w:r>
        <w:t>[1] Harris, D. C., &amp; Lucy, C. A. (2020). Quantitative Chemical Analysis (10th ed.). Macmillan Learning.</w:t>
      </w:r>
    </w:p>
    <w:p w:rsidR="00041BBF" w:rsidRDefault="00DA1DCA" w:rsidP="00F34602">
      <w:pPr>
        <w:jc w:val="both"/>
      </w:pPr>
      <w:r>
        <w:t>[2] Cowles, J. C. (1965).</w:t>
      </w:r>
      <w:r>
        <w:t xml:space="preserve"> Theory of dual-wavelength spectrophotometry for turbid samples. Journal of the Optical Society of America, 55(6), 690–692. https://doi.org/10.1364/JOSA.55.000690</w:t>
      </w:r>
    </w:p>
    <w:p w:rsidR="00041BBF" w:rsidRDefault="00DA1DCA" w:rsidP="00F34602">
      <w:pPr>
        <w:jc w:val="both"/>
      </w:pPr>
      <w:r>
        <w:t>[3] Stewart, J. E. (1973). Optimum reference wavelength selection in multi-wavelength spectro</w:t>
      </w:r>
      <w:r>
        <w:t>photometry of turbid media. Applied Spectroscopy, 27(4), 287–288.</w:t>
      </w:r>
    </w:p>
    <w:p w:rsidR="00041BBF" w:rsidRDefault="00DA1DCA" w:rsidP="00F34602">
      <w:pPr>
        <w:jc w:val="both"/>
      </w:pPr>
      <w:r>
        <w:t>[4] Zhang, H., Tsuchiya, Y., Urakami, T., Miwa, M., &amp; Yamashita, Y. (1998). Time integrated spectroscopy of turbid media based on the microscopic Beer–Lambert law: Consideration of the wavel</w:t>
      </w:r>
      <w:r>
        <w:t>ength dependence of scattering properties. Optics Communications, 153(4–6), 314–322. https://doi.org/10.1016/S0030-4018(98)00267-3</w:t>
      </w:r>
    </w:p>
    <w:p w:rsidR="00041BBF" w:rsidRDefault="00DA1DCA" w:rsidP="00F34602">
      <w:pPr>
        <w:jc w:val="both"/>
      </w:pPr>
      <w:r>
        <w:t>[5] Wind, L., &amp; Szymanski, W. W. (2002). Quantification of scattering corrections to the Beer–Lambert law for transmittance m</w:t>
      </w:r>
      <w:r>
        <w:t>easurements in turbid media. Measurement Science and Technology, 13(3), 270–275. https://doi.org/10.1088/0957-0233/13/3/306</w:t>
      </w:r>
      <w:bookmarkStart w:id="0" w:name="_GoBack"/>
      <w:bookmarkEnd w:id="0"/>
    </w:p>
    <w:sectPr w:rsidR="00041BBF" w:rsidSect="00034616">
      <w:footerReference w:type="default" r:id="rId10"/>
      <w:pgSz w:w="12240" w:h="15840"/>
      <w:pgMar w:top="1037" w:right="1238" w:bottom="979" w:left="123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1DCA" w:rsidRDefault="00DA1DCA">
      <w:pPr>
        <w:spacing w:after="0" w:line="240" w:lineRule="auto"/>
      </w:pPr>
      <w:r>
        <w:separator/>
      </w:r>
    </w:p>
  </w:endnote>
  <w:endnote w:type="continuationSeparator" w:id="0">
    <w:p w:rsidR="00DA1DCA" w:rsidRDefault="00DA1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BBF" w:rsidRDefault="00DA1DCA">
    <w:pPr>
      <w:pStyle w:val="Footer"/>
    </w:pPr>
    <w:r>
      <w:t>NYSJ educational sample • Constructed data • Not peer reviewed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1DCA" w:rsidRDefault="00DA1DCA">
      <w:pPr>
        <w:spacing w:after="0" w:line="240" w:lineRule="auto"/>
      </w:pPr>
      <w:r>
        <w:separator/>
      </w:r>
    </w:p>
  </w:footnote>
  <w:footnote w:type="continuationSeparator" w:id="0">
    <w:p w:rsidR="00DA1DCA" w:rsidRDefault="00DA1D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BBF"/>
    <w:rsid w:val="0006063C"/>
    <w:rsid w:val="0015074B"/>
    <w:rsid w:val="0029639D"/>
    <w:rsid w:val="00326F90"/>
    <w:rsid w:val="00AA1D8D"/>
    <w:rsid w:val="00B47730"/>
    <w:rsid w:val="00CB0664"/>
    <w:rsid w:val="00DA1DCA"/>
    <w:rsid w:val="00F346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519E7F"/>
  <w14:defaultImageDpi w14:val="300"/>
  <w15:docId w15:val="{5EAB3B62-5791-4921-82A6-0A2A68260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Cambria" w:hAnsi="Cambri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B416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B4166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B4166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86AB916-07B0-44BC-989F-A95C9C9B8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1854</Words>
  <Characters>10574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16</vt:i4>
      </vt:variant>
    </vt:vector>
  </HeadingPairs>
  <TitlesOfParts>
    <vt:vector size="17" baseType="lpstr">
      <vt:lpstr/>
      <vt:lpstr>Abstract</vt:lpstr>
      <vt:lpstr>1. Introduction</vt:lpstr>
      <vt:lpstr>    1.1 Research question and hypothesis</vt:lpstr>
      <vt:lpstr>    1.2 Scope and contribution</vt:lpstr>
      <vt:lpstr>2. Materials and Methods</vt:lpstr>
      <vt:lpstr>    2.1 Completed construction of the illustrative dataset</vt:lpstr>
      <vt:lpstr>    2.2 Conceptual physical model (not implemented)</vt:lpstr>
      <vt:lpstr>    2.3 Tabulated constructed values</vt:lpstr>
      <vt:lpstr>    2.4 Prospective two-wavelength study protocol (not performed)</vt:lpstr>
      <vt:lpstr>3. Results</vt:lpstr>
      <vt:lpstr>4. Discussion</vt:lpstr>
      <vt:lpstr>    4.1 Applications and potential impacts</vt:lpstr>
      <vt:lpstr>    4.2 Limitations</vt:lpstr>
      <vt:lpstr>5. Conclusions</vt:lpstr>
      <vt:lpstr>Declarations and educational-use notice</vt:lpstr>
      <vt:lpstr>References</vt:lpstr>
    </vt:vector>
  </TitlesOfParts>
  <Manager/>
  <Company/>
  <LinksUpToDate>false</LinksUpToDate>
  <CharactersWithSpaces>12404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Muhammad Hassan Sayyad2</cp:lastModifiedBy>
  <cp:revision>2</cp:revision>
  <dcterms:created xsi:type="dcterms:W3CDTF">2013-12-23T23:15:00Z</dcterms:created>
  <dcterms:modified xsi:type="dcterms:W3CDTF">2026-11-03T13:15:00Z</dcterms:modified>
  <cp:category/>
</cp:coreProperties>
</file>